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CF7E9D">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3GPP TSG-RAN WG4 Meeting #</w:t>
      </w:r>
      <w:r>
        <w:rPr>
          <w:rFonts w:ascii="Arial" w:hAnsi="Arial" w:cs="Arial"/>
          <w:b/>
        </w:rPr>
        <w:t>1</w:t>
      </w:r>
      <w:r>
        <w:rPr>
          <w:rFonts w:hint="eastAsia" w:ascii="Arial" w:hAnsi="Arial" w:cs="Arial"/>
          <w:b/>
          <w:lang w:val="en-US" w:eastAsia="zh-CN"/>
        </w:rPr>
        <w:t>17</w:t>
      </w:r>
      <w:r>
        <w:rPr>
          <w:rFonts w:ascii="Arial" w:hAnsi="Arial" w:cs="Arial"/>
          <w:b/>
          <w:bCs/>
        </w:rPr>
        <w:t xml:space="preserve">  </w:t>
      </w:r>
      <w:r>
        <w:rPr>
          <w:rFonts w:ascii="Arial" w:hAnsi="Arial" w:cs="Arial"/>
          <w:b/>
          <w:bCs/>
        </w:rPr>
        <w:tab/>
      </w:r>
      <w:bookmarkStart w:id="0" w:name="_Hlk41145946"/>
      <w:r>
        <w:rPr>
          <w:rFonts w:hint="eastAsia" w:ascii="Arial" w:hAnsi="Arial" w:cs="Arial"/>
          <w:b/>
          <w:bCs/>
          <w:lang w:val="en-US" w:eastAsia="zh-CN"/>
        </w:rPr>
        <w:tab/>
      </w:r>
      <w:r>
        <w:rPr>
          <w:rFonts w:ascii="Arial" w:hAnsi="Arial" w:cs="Arial"/>
          <w:b/>
          <w:bCs/>
          <w:highlight w:val="none"/>
        </w:rPr>
        <w:t>R4-2</w:t>
      </w:r>
      <w:bookmarkEnd w:id="0"/>
      <w:r>
        <w:rPr>
          <w:rFonts w:hint="eastAsia" w:ascii="Arial" w:hAnsi="Arial" w:cs="Arial"/>
          <w:b/>
          <w:bCs/>
          <w:highlight w:val="none"/>
          <w:lang w:val="en-US" w:eastAsia="zh-CN"/>
        </w:rPr>
        <w:t>520441</w:t>
      </w:r>
    </w:p>
    <w:p w14:paraId="35687BCC">
      <w:pPr>
        <w:tabs>
          <w:tab w:val="left" w:pos="3106"/>
          <w:tab w:val="center" w:pos="4536"/>
          <w:tab w:val="right" w:pos="9072"/>
        </w:tabs>
        <w:jc w:val="both"/>
        <w:rPr>
          <w:rFonts w:ascii="Arial" w:hAnsi="Arial" w:cs="Arial"/>
          <w:b/>
          <w:bCs/>
          <w:highlight w:val="yellow"/>
        </w:rPr>
      </w:pPr>
      <w:r>
        <w:rPr>
          <w:rFonts w:ascii="Arial" w:hAnsi="Arial" w:eastAsia="宋体" w:cs="Arial"/>
          <w:b/>
          <w:sz w:val="24"/>
          <w:szCs w:val="24"/>
          <w:lang w:eastAsia="zh-CN"/>
        </w:rPr>
        <w:t>Dallas, USA, Nov. 17-21, 2025</w:t>
      </w:r>
    </w:p>
    <w:p w14:paraId="03D9AB6B">
      <w:pPr>
        <w:tabs>
          <w:tab w:val="left" w:pos="1985"/>
        </w:tabs>
        <w:rPr>
          <w:b/>
          <w:sz w:val="22"/>
        </w:rPr>
      </w:pPr>
    </w:p>
    <w:p w14:paraId="5091D0EE">
      <w:pPr>
        <w:tabs>
          <w:tab w:val="left" w:pos="1765"/>
          <w:tab w:val="center" w:pos="4557"/>
        </w:tabs>
        <w:rPr>
          <w:rFonts w:hint="default" w:eastAsiaTheme="minorEastAsia"/>
          <w:b/>
          <w:sz w:val="22"/>
          <w:lang w:val="en-US" w:eastAsia="zh-CN"/>
        </w:rPr>
      </w:pPr>
      <w:r>
        <w:rPr>
          <w:b/>
          <w:sz w:val="22"/>
        </w:rPr>
        <w:t>Agenda Item:</w:t>
      </w:r>
      <w:r>
        <w:rPr>
          <w:b/>
          <w:sz w:val="22"/>
          <w:highlight w:val="none"/>
        </w:rPr>
        <w:tab/>
      </w:r>
      <w:r>
        <w:rPr>
          <w:rFonts w:hint="eastAsia"/>
          <w:sz w:val="22"/>
          <w:highlight w:val="none"/>
          <w:lang w:val="en-US" w:eastAsia="zh-CN"/>
        </w:rPr>
        <w:t>8.12.2.3</w:t>
      </w:r>
    </w:p>
    <w:p w14:paraId="050928FC">
      <w:pPr>
        <w:tabs>
          <w:tab w:val="left" w:pos="1765"/>
        </w:tabs>
        <w:rPr>
          <w:sz w:val="22"/>
        </w:rPr>
      </w:pPr>
      <w:r>
        <w:rPr>
          <w:b/>
          <w:sz w:val="22"/>
        </w:rPr>
        <w:t xml:space="preserve">Source: </w:t>
      </w:r>
      <w:r>
        <w:rPr>
          <w:b/>
          <w:sz w:val="22"/>
        </w:rPr>
        <w:tab/>
      </w:r>
      <w:bookmarkStart w:id="1" w:name="_Hlk41145958"/>
      <w:r>
        <w:rPr>
          <w:sz w:val="22"/>
        </w:rPr>
        <w:t>CMCC</w:t>
      </w:r>
      <w:bookmarkEnd w:id="1"/>
    </w:p>
    <w:p w14:paraId="4B75FBF3">
      <w:pPr>
        <w:rPr>
          <w:rFonts w:hint="default" w:eastAsiaTheme="minorEastAsia"/>
          <w:sz w:val="22"/>
          <w:lang w:val="en-US" w:eastAsia="zh-CN"/>
        </w:rPr>
      </w:pPr>
      <w:r>
        <w:rPr>
          <w:b/>
          <w:sz w:val="22"/>
        </w:rPr>
        <w:t xml:space="preserve">Title: </w:t>
      </w:r>
      <w:r>
        <w:rPr>
          <w:b/>
          <w:sz w:val="22"/>
        </w:rPr>
        <w:tab/>
      </w:r>
      <w:r>
        <w:rPr>
          <w:b/>
          <w:sz w:val="22"/>
        </w:rPr>
        <w:tab/>
      </w:r>
      <w:r>
        <w:rPr>
          <w:b/>
          <w:sz w:val="22"/>
        </w:rPr>
        <w:tab/>
      </w:r>
      <w:bookmarkStart w:id="2" w:name="_Hlk41145953"/>
      <w:bookmarkStart w:id="3" w:name="OLE_LINK7"/>
      <w:bookmarkStart w:id="4" w:name="OLE_LINK8"/>
      <w:r>
        <w:rPr>
          <w:sz w:val="22"/>
        </w:rPr>
        <w:t xml:space="preserve"> Discussion on demodulation </w:t>
      </w:r>
      <w:bookmarkEnd w:id="2"/>
      <w:r>
        <w:rPr>
          <w:rFonts w:hint="eastAsia"/>
          <w:sz w:val="22"/>
          <w:lang w:val="en-US" w:eastAsia="zh-CN"/>
        </w:rPr>
        <w:t>specification enhancement for 6G study</w:t>
      </w:r>
    </w:p>
    <w:bookmarkEnd w:id="3"/>
    <w:bookmarkEnd w:id="4"/>
    <w:p w14:paraId="084F8028">
      <w:pPr>
        <w:tabs>
          <w:tab w:val="left" w:pos="1765"/>
        </w:tabs>
        <w:rPr>
          <w:sz w:val="22"/>
        </w:rPr>
      </w:pPr>
      <w:r>
        <w:rPr>
          <w:b/>
          <w:sz w:val="22"/>
        </w:rPr>
        <w:t>Document for:</w:t>
      </w:r>
      <w:r>
        <w:rPr>
          <w:b/>
          <w:sz w:val="22"/>
        </w:rPr>
        <w:tab/>
      </w:r>
      <w:r>
        <w:rPr>
          <w:sz w:val="22"/>
        </w:rPr>
        <w:t>Discussion</w:t>
      </w:r>
    </w:p>
    <w:p w14:paraId="6CF44111">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0C513B85">
      <w:pPr>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RAN4 operation efficiency study for 6G started from RAN4#116bis meeting. For performance and demodulation part, the open issues are summarized as following [1]:</w:t>
      </w:r>
    </w:p>
    <w:p w14:paraId="4534C53E">
      <w:pPr>
        <w:rPr>
          <w:b/>
          <w:sz w:val="20"/>
          <w:szCs w:val="20"/>
          <w:u w:val="single"/>
          <w:lang w:eastAsia="ko-KR"/>
        </w:rPr>
      </w:pPr>
      <w:r>
        <w:rPr>
          <w:b/>
          <w:sz w:val="20"/>
          <w:szCs w:val="20"/>
          <w:u w:val="single"/>
          <w:lang w:eastAsia="ko-KR"/>
        </w:rPr>
        <w:t>Issue 1-1-5: Issues on Performance or Demodulation Specifications</w:t>
      </w:r>
    </w:p>
    <w:p w14:paraId="0DDDEA38">
      <w:pPr>
        <w:pStyle w:val="75"/>
        <w:numPr>
          <w:ilvl w:val="0"/>
          <w:numId w:val="4"/>
        </w:numPr>
        <w:overflowPunct/>
        <w:autoSpaceDE/>
        <w:autoSpaceDN/>
        <w:adjustRightInd/>
        <w:spacing w:after="120"/>
        <w:ind w:left="720" w:firstLineChars="0"/>
        <w:textAlignment w:val="auto"/>
        <w:rPr>
          <w:rFonts w:eastAsia="宋体"/>
          <w:sz w:val="20"/>
          <w:szCs w:val="20"/>
          <w:lang w:eastAsia="zh-CN"/>
        </w:rPr>
      </w:pPr>
      <w:r>
        <w:rPr>
          <w:rFonts w:eastAsia="宋体"/>
          <w:sz w:val="20"/>
          <w:szCs w:val="20"/>
          <w:lang w:eastAsia="zh-CN"/>
        </w:rPr>
        <w:t>Observed issues</w:t>
      </w:r>
    </w:p>
    <w:p w14:paraId="7FD43A40">
      <w:pPr>
        <w:pStyle w:val="75"/>
        <w:numPr>
          <w:ilvl w:val="1"/>
          <w:numId w:val="4"/>
        </w:numPr>
        <w:spacing w:after="120"/>
        <w:ind w:firstLineChars="0"/>
        <w:rPr>
          <w:rFonts w:eastAsia="宋体"/>
          <w:sz w:val="20"/>
          <w:szCs w:val="20"/>
          <w:lang w:eastAsia="zh-CN"/>
        </w:rPr>
      </w:pPr>
      <w:r>
        <w:rPr>
          <w:rFonts w:eastAsia="宋体"/>
          <w:sz w:val="20"/>
          <w:szCs w:val="20"/>
          <w:lang w:eastAsia="zh-CN"/>
        </w:rPr>
        <w:t>Issue 1: In the 5G BS demodulation performance specifications, applicability of certain requirements is not explicitly linked to the support of the corresponding features.</w:t>
      </w:r>
    </w:p>
    <w:p w14:paraId="09BA5112">
      <w:pPr>
        <w:pStyle w:val="75"/>
        <w:numPr>
          <w:ilvl w:val="1"/>
          <w:numId w:val="4"/>
        </w:numPr>
        <w:spacing w:after="120"/>
        <w:ind w:firstLineChars="0"/>
        <w:rPr>
          <w:rFonts w:eastAsia="宋体"/>
          <w:sz w:val="20"/>
          <w:szCs w:val="20"/>
          <w:lang w:eastAsia="zh-CN"/>
        </w:rPr>
      </w:pPr>
      <w:r>
        <w:rPr>
          <w:rFonts w:eastAsia="宋体"/>
          <w:sz w:val="20"/>
          <w:szCs w:val="20"/>
          <w:lang w:eastAsia="zh-CN"/>
        </w:rPr>
        <w:t>Issue 2: The current structure of applicability rules in TS 38.101-4 is fragmented and inconsistent across device types</w:t>
      </w:r>
    </w:p>
    <w:p w14:paraId="4C175DC3">
      <w:pPr>
        <w:rPr>
          <w:b/>
          <w:sz w:val="20"/>
          <w:szCs w:val="20"/>
          <w:u w:val="single"/>
          <w:lang w:eastAsia="ko-KR"/>
        </w:rPr>
      </w:pPr>
      <w:r>
        <w:rPr>
          <w:b/>
          <w:sz w:val="20"/>
          <w:szCs w:val="20"/>
          <w:u w:val="single"/>
          <w:lang w:eastAsia="ko-KR"/>
        </w:rPr>
        <w:t>Issue 3-4: Perf/Demod specs improvements</w:t>
      </w:r>
    </w:p>
    <w:p w14:paraId="4AFC62A1">
      <w:pPr>
        <w:pStyle w:val="75"/>
        <w:numPr>
          <w:ilvl w:val="0"/>
          <w:numId w:val="4"/>
        </w:numPr>
        <w:overflowPunct/>
        <w:autoSpaceDE/>
        <w:autoSpaceDN/>
        <w:adjustRightInd/>
        <w:spacing w:after="120"/>
        <w:ind w:left="720" w:firstLineChars="0"/>
        <w:textAlignment w:val="auto"/>
        <w:rPr>
          <w:rFonts w:eastAsia="宋体"/>
          <w:sz w:val="20"/>
          <w:szCs w:val="20"/>
          <w:lang w:eastAsia="zh-CN"/>
        </w:rPr>
      </w:pPr>
      <w:r>
        <w:rPr>
          <w:rFonts w:eastAsia="宋体"/>
          <w:sz w:val="20"/>
          <w:szCs w:val="20"/>
          <w:lang w:eastAsia="zh-CN"/>
        </w:rPr>
        <w:t>Proposals</w:t>
      </w:r>
    </w:p>
    <w:p w14:paraId="3891D5D2">
      <w:pPr>
        <w:pStyle w:val="75"/>
        <w:numPr>
          <w:ilvl w:val="1"/>
          <w:numId w:val="4"/>
        </w:numPr>
        <w:spacing w:after="120"/>
        <w:ind w:firstLineChars="0"/>
        <w:rPr>
          <w:rFonts w:eastAsia="宋体"/>
          <w:sz w:val="20"/>
          <w:szCs w:val="20"/>
          <w:lang w:eastAsia="zh-CN"/>
        </w:rPr>
      </w:pPr>
      <w:r>
        <w:rPr>
          <w:rFonts w:eastAsia="宋体"/>
          <w:sz w:val="20"/>
          <w:szCs w:val="20"/>
          <w:lang w:eastAsia="zh-CN"/>
        </w:rPr>
        <w:t>Proposal 1: Replacing broad applicability statements with clear, centralized mappings of test coverage. This would enhance consistency and reduce ambiguity across device types and configurations.</w:t>
      </w:r>
    </w:p>
    <w:p w14:paraId="761C9C0D">
      <w:pPr>
        <w:pStyle w:val="75"/>
        <w:numPr>
          <w:ilvl w:val="1"/>
          <w:numId w:val="4"/>
        </w:numPr>
        <w:spacing w:after="120"/>
        <w:ind w:firstLineChars="0"/>
        <w:rPr>
          <w:rFonts w:eastAsia="宋体"/>
          <w:sz w:val="20"/>
          <w:szCs w:val="20"/>
          <w:lang w:eastAsia="zh-CN"/>
        </w:rPr>
      </w:pPr>
      <w:r>
        <w:rPr>
          <w:rFonts w:eastAsia="宋体"/>
          <w:sz w:val="20"/>
          <w:szCs w:val="20"/>
          <w:lang w:eastAsia="zh-CN"/>
        </w:rPr>
        <w:t>Proposal 2: A capability-aware test applicability framework should be intended, e.g., For devices lacking legacy TN support, test applicability should be designed to avoid dependency on TN-related procedures and corresponding test cases."</w:t>
      </w:r>
    </w:p>
    <w:p w14:paraId="416DD58E">
      <w:pPr>
        <w:pStyle w:val="75"/>
        <w:numPr>
          <w:ilvl w:val="1"/>
          <w:numId w:val="4"/>
        </w:numPr>
        <w:spacing w:after="120"/>
        <w:ind w:firstLineChars="0"/>
        <w:rPr>
          <w:rFonts w:eastAsia="宋体"/>
          <w:sz w:val="20"/>
          <w:szCs w:val="20"/>
          <w:lang w:eastAsia="zh-CN"/>
        </w:rPr>
      </w:pPr>
      <w:r>
        <w:rPr>
          <w:rFonts w:eastAsia="宋体"/>
          <w:sz w:val="20"/>
          <w:szCs w:val="20"/>
          <w:lang w:eastAsia="zh-CN"/>
        </w:rPr>
        <w:t>Proposal 3: FRC table improvements considering</w:t>
      </w:r>
    </w:p>
    <w:p w14:paraId="4AABA58A">
      <w:pPr>
        <w:pStyle w:val="75"/>
        <w:numPr>
          <w:ilvl w:val="2"/>
          <w:numId w:val="4"/>
        </w:numPr>
        <w:spacing w:after="120"/>
        <w:ind w:firstLineChars="0"/>
        <w:rPr>
          <w:rFonts w:eastAsia="宋体"/>
          <w:sz w:val="20"/>
          <w:szCs w:val="20"/>
          <w:lang w:eastAsia="zh-CN"/>
        </w:rPr>
      </w:pPr>
      <w:r>
        <w:rPr>
          <w:rFonts w:eastAsia="宋体"/>
          <w:sz w:val="20"/>
          <w:szCs w:val="20"/>
          <w:lang w:eastAsia="zh-CN"/>
        </w:rPr>
        <w:t>necessary configuration and avoid derived information</w:t>
      </w:r>
    </w:p>
    <w:p w14:paraId="744DA5BC">
      <w:pPr>
        <w:pStyle w:val="75"/>
        <w:numPr>
          <w:ilvl w:val="2"/>
          <w:numId w:val="4"/>
        </w:numPr>
        <w:overflowPunct/>
        <w:autoSpaceDE/>
        <w:autoSpaceDN/>
        <w:adjustRightInd/>
        <w:spacing w:after="120"/>
        <w:ind w:firstLineChars="0"/>
        <w:textAlignment w:val="auto"/>
        <w:rPr>
          <w:rFonts w:eastAsia="宋体"/>
          <w:sz w:val="20"/>
          <w:szCs w:val="20"/>
          <w:lang w:eastAsia="zh-CN"/>
        </w:rPr>
      </w:pPr>
      <w:r>
        <w:rPr>
          <w:rFonts w:eastAsia="宋体"/>
          <w:sz w:val="20"/>
          <w:szCs w:val="20"/>
          <w:lang w:eastAsia="zh-CN"/>
        </w:rPr>
        <w:t>methodology to generate FRC table efficiently</w:t>
      </w:r>
    </w:p>
    <w:p w14:paraId="30DE420C">
      <w:pPr>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ascii="Times New Roman" w:hAnsi="Times New Roman" w:eastAsia="MS Mincho" w:cs="Times New Roman"/>
          <w:color w:val="000000"/>
          <w:lang w:val="en-GB" w:eastAsia="en-GB" w:bidi="ar-SA"/>
        </w:rPr>
      </w:pPr>
      <w:r>
        <w:rPr>
          <w:rFonts w:hint="eastAsia"/>
          <w:sz w:val="20"/>
          <w:szCs w:val="20"/>
          <w:lang w:val="en-US" w:eastAsia="zh-CN"/>
        </w:rPr>
        <w:t>In this contribution, we share our views on demodulation specification enhancement.</w:t>
      </w:r>
    </w:p>
    <w:p w14:paraId="229F527F">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bookmarkStart w:id="5" w:name="OLE_LINK1"/>
      <w:bookmarkStart w:id="6" w:name="OLE_LINK2"/>
      <w:r>
        <w:rPr>
          <w:rFonts w:hint="eastAsia" w:ascii="Times New Roman" w:hAnsi="Times New Roman"/>
          <w:b w:val="0"/>
          <w:bCs w:val="0"/>
          <w:kern w:val="0"/>
          <w:sz w:val="36"/>
          <w:szCs w:val="36"/>
          <w:lang w:val="en-US" w:eastAsia="zh-CN"/>
        </w:rPr>
        <w:t>Discussion</w:t>
      </w:r>
    </w:p>
    <w:p w14:paraId="6B21EED2">
      <w:pPr>
        <w:pStyle w:val="2"/>
        <w:numPr>
          <w:ilvl w:val="1"/>
          <w:numId w:val="3"/>
        </w:numPr>
        <w:pBdr>
          <w:top w:val="none" w:color="auto" w:sz="0" w:space="3"/>
          <w:left w:val="none" w:color="auto" w:sz="0" w:space="0"/>
          <w:bottom w:val="none" w:color="auto" w:sz="0" w:space="0"/>
          <w:right w:val="none" w:color="auto" w:sz="0" w:space="0"/>
          <w:between w:val="none" w:color="auto" w:sz="0" w:space="0"/>
        </w:pBdr>
        <w:spacing w:before="120" w:after="60" w:line="240" w:lineRule="auto"/>
        <w:ind w:left="567" w:leftChars="0" w:hanging="567" w:firstLineChars="0"/>
        <w:rPr>
          <w:rFonts w:hint="default"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FRC Tables</w:t>
      </w:r>
    </w:p>
    <w:p w14:paraId="5636161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In both UE and BS demodulation/conformance test specifications, including TS38.101-4, TS38.104, TS 38.141-1/2, RAN4 introduces FRC tables to assist the TE vendors in setting up test environments. Based on our observations, lots of efforts has been devoted to the introduction and maintenance of these FRCs.</w:t>
      </w:r>
    </w:p>
    <w:p w14:paraId="40BD0AB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sz w:val="20"/>
          <w:szCs w:val="20"/>
          <w:u w:val="single"/>
          <w:lang w:val="en-US" w:eastAsia="zh-CN"/>
        </w:rPr>
      </w:pPr>
      <w:r>
        <w:rPr>
          <w:rFonts w:hint="eastAsia" w:cs="Times New Roman"/>
          <w:b/>
          <w:bCs/>
          <w:sz w:val="20"/>
          <w:szCs w:val="20"/>
          <w:u w:val="single"/>
          <w:lang w:val="en-US" w:eastAsia="zh-CN"/>
        </w:rPr>
        <w:t>Observation on FRC introduction</w:t>
      </w:r>
    </w:p>
    <w:p w14:paraId="76DB4E77">
      <w:pPr>
        <w:keepNext w:val="0"/>
        <w:keepLines w:val="0"/>
        <w:pageBreakBefore w:val="0"/>
        <w:widowControl/>
        <w:numPr>
          <w:ilvl w:val="0"/>
          <w:numId w:val="5"/>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Parameters such as bandwidth, SCS, modulation format and code rate are duplicated between minimum requirement Clauses and related FRC Clauses.</w:t>
      </w:r>
    </w:p>
    <w:p w14:paraId="476A8CD8">
      <w:pPr>
        <w:keepNext w:val="0"/>
        <w:keepLines w:val="0"/>
        <w:pageBreakBefore w:val="0"/>
        <w:widowControl/>
        <w:numPr>
          <w:ilvl w:val="0"/>
          <w:numId w:val="5"/>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Information Bit Payload per Slot and Transport block CRC per Slot can be derived using the definition in TS 38.214 Clause 5.1.3 and TS 38.212 Clause 5.2.2, based on the configured parameter including Number of allocated resource blocks, Number of consecutive PDSCH symbols, MCS, MIMO layers and allocated DMRS REs.</w:t>
      </w:r>
    </w:p>
    <w:p w14:paraId="10BE5DC6">
      <w:pPr>
        <w:keepNext w:val="0"/>
        <w:keepLines w:val="0"/>
        <w:pageBreakBefore w:val="0"/>
        <w:widowControl/>
        <w:numPr>
          <w:ilvl w:val="0"/>
          <w:numId w:val="5"/>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Maximum throughout can be further derived from Information Bit Payload per Slot and Allocated slots using a fixed formula.</w:t>
      </w:r>
    </w:p>
    <w:p w14:paraId="40258DBD">
      <w:pPr>
        <w:keepNext w:val="0"/>
        <w:keepLines w:val="0"/>
        <w:pageBreakBefore w:val="0"/>
        <w:widowControl/>
        <w:numPr>
          <w:ilvl w:val="0"/>
          <w:numId w:val="5"/>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Binary Channel Bits Per Slot can be derived using a fixed formula based on Number of allocated resource blocks, allocated CSI-RS REs, MCS and MIMO layers.</w:t>
      </w:r>
    </w:p>
    <w:p w14:paraId="21F8E7A8">
      <w:pPr>
        <w:keepNext w:val="0"/>
        <w:keepLines w:val="0"/>
        <w:pageBreakBefore w:val="0"/>
        <w:widowControl/>
        <w:numPr>
          <w:ilvl w:val="0"/>
          <w:numId w:val="5"/>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The FRC numbering can not be finalized even at BigCR stage due to potential conflicts between different WIs.</w:t>
      </w:r>
    </w:p>
    <w:p w14:paraId="32011433">
      <w:pPr>
        <w:keepNext w:val="0"/>
        <w:keepLines w:val="0"/>
        <w:pageBreakBefore w:val="0"/>
        <w:widowControl/>
        <w:numPr>
          <w:ilvl w:val="0"/>
          <w:numId w:val="5"/>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Same FRC tables are repeated across different specs, such as TS 38.104, TS 38.141-1 and TS 38.141-2</w:t>
      </w:r>
    </w:p>
    <w:p w14:paraId="38C04482">
      <w:pPr>
        <w:keepNext w:val="0"/>
        <w:keepLines w:val="0"/>
        <w:pageBreakBefore w:val="0"/>
        <w:widowControl/>
        <w:numPr>
          <w:ilvl w:val="0"/>
          <w:numId w:val="5"/>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The specification was expanded due to new tables need to be created for different SCS, different Modulation order, different CSI-RS/PDSCH/PRB scheduling, different features, and when the reserved columns are filled up.</w:t>
      </w:r>
    </w:p>
    <w:p w14:paraId="7AE0E584">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sz w:val="20"/>
          <w:szCs w:val="20"/>
          <w:u w:val="single"/>
          <w:lang w:val="en-US" w:eastAsia="zh-CN"/>
        </w:rPr>
      </w:pPr>
      <w:r>
        <w:rPr>
          <w:rFonts w:hint="eastAsia" w:cs="Times New Roman"/>
          <w:b/>
          <w:bCs/>
          <w:sz w:val="20"/>
          <w:szCs w:val="20"/>
          <w:u w:val="single"/>
          <w:lang w:val="en-US" w:eastAsia="zh-CN"/>
        </w:rPr>
        <w:t>Observation on FRC maintenance</w:t>
      </w:r>
    </w:p>
    <w:p w14:paraId="48423E7B">
      <w:pPr>
        <w:keepNext w:val="0"/>
        <w:keepLines w:val="0"/>
        <w:pageBreakBefore w:val="0"/>
        <w:widowControl/>
        <w:numPr>
          <w:ilvl w:val="0"/>
          <w:numId w:val="6"/>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Correction are sometimes needed for values due to misunderstanding of configurations and allocated reference signals, incorrect calculation method, or calculation errors.</w:t>
      </w:r>
    </w:p>
    <w:p w14:paraId="1ADA8286">
      <w:pPr>
        <w:keepNext w:val="0"/>
        <w:keepLines w:val="0"/>
        <w:pageBreakBefore w:val="0"/>
        <w:widowControl/>
        <w:numPr>
          <w:ilvl w:val="0"/>
          <w:numId w:val="6"/>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Correction are sometimes needed for Table/FRC numbering due to typos or overlapping between WIs</w:t>
      </w:r>
    </w:p>
    <w:p w14:paraId="2C8F11AC">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Observation 1: The complexity and redundancy in FRC definitions consume a lot of time in spec drafting and maintenance, reflected in the following aspects:</w:t>
      </w:r>
    </w:p>
    <w:p w14:paraId="098D675F">
      <w:pPr>
        <w:keepNext w:val="0"/>
        <w:keepLines w:val="0"/>
        <w:pageBreakBefore w:val="0"/>
        <w:widowControl/>
        <w:numPr>
          <w:ilvl w:val="0"/>
          <w:numId w:val="7"/>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Redundant parameter definitions across Clauses, and redundant FRC definition across specs</w:t>
      </w:r>
    </w:p>
    <w:p w14:paraId="745B327D">
      <w:pPr>
        <w:keepNext w:val="0"/>
        <w:keepLines w:val="0"/>
        <w:pageBreakBefore w:val="0"/>
        <w:widowControl/>
        <w:numPr>
          <w:ilvl w:val="0"/>
          <w:numId w:val="7"/>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The calculation procedure of the derived values is fixed, which can be based on clear derivation method definition, yet only the results are currently captured, leading to potential calculation errors.</w:t>
      </w:r>
    </w:p>
    <w:p w14:paraId="64966A62">
      <w:pPr>
        <w:keepNext w:val="0"/>
        <w:keepLines w:val="0"/>
        <w:pageBreakBefore w:val="0"/>
        <w:widowControl/>
        <w:numPr>
          <w:ilvl w:val="0"/>
          <w:numId w:val="7"/>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The numbering of FRC tables and FRC itself can not be finalized even at the BigCR stage</w:t>
      </w:r>
    </w:p>
    <w:p w14:paraId="525C5A3C">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Observation 2: The specification was expanded because new table need to be created for different SCS, different Modulation order, different CSI-RS/PDSCH/PRB scheduling, different features, and when the reserved columns are filled up.</w:t>
      </w:r>
    </w:p>
    <w:p w14:paraId="0FD763C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Based on above observations, we see the possibility of FRC enhancement. For example, only capture essential non-repeated configuration and common derivation method definition in the spec. Add new FRC by adding rows rather than columns to overcome the page size limitation.</w:t>
      </w:r>
    </w:p>
    <w:p w14:paraId="347F6CEA">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 Simplify the FRC table by only capture essential non-repeated configuration and common derivation method definition for the computed values. New FRCs should be added as rows to avoid page size constraints.</w:t>
      </w:r>
    </w:p>
    <w:p w14:paraId="353BDE2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Regarding the issue of FRC table/FRC numbering conflicts when multiple WIs require simultaneous updates within the same specification version, we believe this issue can be addressed as part of a broader CR handling improvement, similar to how Clause numbering issues are managed.</w:t>
      </w:r>
    </w:p>
    <w:p w14:paraId="3894D784">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default" w:cs="Times New Roman"/>
          <w:b/>
          <w:bCs/>
          <w:i/>
          <w:iCs/>
          <w:sz w:val="20"/>
          <w:szCs w:val="20"/>
          <w:lang w:val="en-US" w:eastAsia="zh-CN"/>
        </w:rPr>
        <w:t xml:space="preserve">Proposal </w:t>
      </w:r>
      <w:r>
        <w:rPr>
          <w:rFonts w:hint="eastAsia" w:cs="Times New Roman"/>
          <w:b/>
          <w:bCs/>
          <w:i/>
          <w:iCs/>
          <w:sz w:val="20"/>
          <w:szCs w:val="20"/>
          <w:lang w:val="en-US" w:eastAsia="zh-CN"/>
        </w:rPr>
        <w:t>2</w:t>
      </w:r>
      <w:r>
        <w:rPr>
          <w:rFonts w:hint="default" w:cs="Times New Roman"/>
          <w:b/>
          <w:bCs/>
          <w:i/>
          <w:iCs/>
          <w:sz w:val="20"/>
          <w:szCs w:val="20"/>
          <w:lang w:val="en-US" w:eastAsia="zh-CN"/>
        </w:rPr>
        <w:t xml:space="preserve">: </w:t>
      </w:r>
      <w:r>
        <w:rPr>
          <w:rFonts w:hint="eastAsia" w:cs="Times New Roman"/>
          <w:b/>
          <w:bCs/>
          <w:i/>
          <w:iCs/>
          <w:sz w:val="20"/>
          <w:szCs w:val="20"/>
          <w:lang w:val="en-US" w:eastAsia="zh-CN"/>
        </w:rPr>
        <w:t>Address the FRC table/FRC numbering issue as part of a broader CR handling improvement</w:t>
      </w:r>
    </w:p>
    <w:p w14:paraId="0BFF70D8">
      <w:pPr>
        <w:rPr>
          <w:rFonts w:hint="default"/>
          <w:lang w:val="en-US" w:eastAsia="zh-CN"/>
        </w:rPr>
      </w:pPr>
    </w:p>
    <w:p w14:paraId="3ADDB966">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671E483B">
      <w:pPr>
        <w:spacing w:before="60"/>
        <w:rPr>
          <w:sz w:val="20"/>
          <w:szCs w:val="20"/>
        </w:rPr>
      </w:pPr>
      <w:r>
        <w:rPr>
          <w:sz w:val="20"/>
          <w:szCs w:val="20"/>
        </w:rPr>
        <w:t xml:space="preserve">Based on the discussion above, the following </w:t>
      </w:r>
      <w:r>
        <w:rPr>
          <w:rFonts w:hint="eastAsia"/>
          <w:sz w:val="20"/>
          <w:szCs w:val="20"/>
          <w:lang w:val="en-US" w:eastAsia="zh-CN"/>
        </w:rPr>
        <w:t xml:space="preserve">observations and </w:t>
      </w:r>
      <w:r>
        <w:rPr>
          <w:sz w:val="20"/>
          <w:szCs w:val="20"/>
        </w:rPr>
        <w:t xml:space="preserve">proposals are concluded. </w:t>
      </w:r>
      <w:bookmarkEnd w:id="5"/>
      <w:bookmarkEnd w:id="6"/>
    </w:p>
    <w:p w14:paraId="4601CC69">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Observation 1: The complexity and redundancy in FRC definitions consume a lot of time in spec drafting and maintenance, reflected in the following aspects:</w:t>
      </w:r>
    </w:p>
    <w:p w14:paraId="7927E50E">
      <w:pPr>
        <w:keepNext w:val="0"/>
        <w:keepLines w:val="0"/>
        <w:pageBreakBefore w:val="0"/>
        <w:widowControl/>
        <w:numPr>
          <w:ilvl w:val="0"/>
          <w:numId w:val="8"/>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Redundant parameter definitions across Clauses, and redundant FRC definition across specs</w:t>
      </w:r>
    </w:p>
    <w:p w14:paraId="1C46B7E1">
      <w:pPr>
        <w:keepNext w:val="0"/>
        <w:keepLines w:val="0"/>
        <w:pageBreakBefore w:val="0"/>
        <w:widowControl/>
        <w:numPr>
          <w:ilvl w:val="0"/>
          <w:numId w:val="8"/>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The calculation procedure of the derived values is fixed, which can be based on clear derivation method definition, yet only the results are currently captured, leading to potential calculation errors.</w:t>
      </w:r>
    </w:p>
    <w:p w14:paraId="03EBC7D3">
      <w:pPr>
        <w:keepNext w:val="0"/>
        <w:keepLines w:val="0"/>
        <w:pageBreakBefore w:val="0"/>
        <w:widowControl/>
        <w:numPr>
          <w:ilvl w:val="0"/>
          <w:numId w:val="8"/>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The numbering of FRC tables a</w:t>
      </w:r>
      <w:bookmarkStart w:id="7" w:name="_GoBack"/>
      <w:bookmarkEnd w:id="7"/>
      <w:r>
        <w:rPr>
          <w:rFonts w:hint="eastAsia" w:cs="Times New Roman"/>
          <w:b/>
          <w:bCs/>
          <w:i/>
          <w:iCs/>
          <w:sz w:val="20"/>
          <w:szCs w:val="20"/>
          <w:lang w:val="en-US" w:eastAsia="zh-CN"/>
        </w:rPr>
        <w:t>nd FRC itself can not be finalized even at the BigCR stage</w:t>
      </w:r>
    </w:p>
    <w:p w14:paraId="0A8EDB5B">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Observation 2: The specification was expanded because new table need to be created for different SCS, different Modulation order, different CSI-RS/PDSCH/PRB scheduling, different features, and when the reserved columns are filled up.</w:t>
      </w:r>
    </w:p>
    <w:p w14:paraId="48D51BB9">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 Simplify the FRC table by only capture essential non-repeated configuration and common derivation method definition for the computed values. New FRCs should be added as rows to avoid page size constraints.</w:t>
      </w:r>
    </w:p>
    <w:p w14:paraId="30BC3B80">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default" w:cs="Times New Roman"/>
          <w:b/>
          <w:bCs/>
          <w:i/>
          <w:iCs/>
          <w:sz w:val="20"/>
          <w:szCs w:val="20"/>
          <w:lang w:val="en-US" w:eastAsia="zh-CN"/>
        </w:rPr>
        <w:t xml:space="preserve">Proposal </w:t>
      </w:r>
      <w:r>
        <w:rPr>
          <w:rFonts w:hint="eastAsia" w:cs="Times New Roman"/>
          <w:b/>
          <w:bCs/>
          <w:i/>
          <w:iCs/>
          <w:sz w:val="20"/>
          <w:szCs w:val="20"/>
          <w:lang w:val="en-US" w:eastAsia="zh-CN"/>
        </w:rPr>
        <w:t>2</w:t>
      </w:r>
      <w:r>
        <w:rPr>
          <w:rFonts w:hint="default" w:cs="Times New Roman"/>
          <w:b/>
          <w:bCs/>
          <w:i/>
          <w:iCs/>
          <w:sz w:val="20"/>
          <w:szCs w:val="20"/>
          <w:lang w:val="en-US" w:eastAsia="zh-CN"/>
        </w:rPr>
        <w:t xml:space="preserve">: </w:t>
      </w:r>
      <w:r>
        <w:rPr>
          <w:rFonts w:hint="eastAsia" w:cs="Times New Roman"/>
          <w:b/>
          <w:bCs/>
          <w:i/>
          <w:iCs/>
          <w:sz w:val="20"/>
          <w:szCs w:val="20"/>
          <w:lang w:val="en-US" w:eastAsia="zh-CN"/>
        </w:rPr>
        <w:t>Address the FRC table/FRC numbering issue as part of a broader CR handling improvement</w:t>
      </w:r>
    </w:p>
    <w:p w14:paraId="3F1DD96C">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BF8E6C6">
      <w:pPr>
        <w:numPr>
          <w:ilvl w:val="0"/>
          <w:numId w:val="9"/>
        </w:numPr>
        <w:rPr>
          <w:rFonts w:hint="default"/>
          <w:sz w:val="20"/>
          <w:szCs w:val="20"/>
          <w:lang w:val="en-US" w:eastAsia="zh-CN"/>
        </w:rPr>
      </w:pPr>
      <w:r>
        <w:rPr>
          <w:rFonts w:hint="eastAsia" w:ascii="Times" w:hAnsi="Times" w:eastAsia="宋体"/>
          <w:b w:val="0"/>
          <w:sz w:val="20"/>
          <w:lang w:eastAsia="zh-CN"/>
        </w:rPr>
        <w:t>R4-2514648</w:t>
      </w:r>
      <w:r>
        <w:rPr>
          <w:rFonts w:hint="eastAsia" w:ascii="Times" w:hAnsi="Times" w:eastAsia="宋体"/>
          <w:b w:val="0"/>
          <w:sz w:val="20"/>
          <w:lang w:val="en-US" w:eastAsia="zh-CN"/>
        </w:rPr>
        <w:t>, Way Forward for [116bis][111] 6G operation efficiency, CATT</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Light">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 w:name="Times">
    <w:altName w:val="Times New Roman"/>
    <w:panose1 w:val="02020603050405020304"/>
    <w:charset w:val="00"/>
    <w:family w:val="roman"/>
    <w:pitch w:val="default"/>
    <w:sig w:usb0="00000000" w:usb1="00000000"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EE7EF4"/>
    <w:multiLevelType w:val="singleLevel"/>
    <w:tmpl w:val="95EE7EF4"/>
    <w:lvl w:ilvl="0" w:tentative="0">
      <w:start w:val="1"/>
      <w:numFmt w:val="decimal"/>
      <w:suff w:val="space"/>
      <w:lvlText w:val="%1."/>
      <w:lvlJc w:val="left"/>
    </w:lvl>
  </w:abstractNum>
  <w:abstractNum w:abstractNumId="1">
    <w:nsid w:val="EFC601B8"/>
    <w:multiLevelType w:val="singleLevel"/>
    <w:tmpl w:val="EFC601B8"/>
    <w:lvl w:ilvl="0" w:tentative="0">
      <w:start w:val="1"/>
      <w:numFmt w:val="decimal"/>
      <w:suff w:val="space"/>
      <w:lvlText w:val="%1."/>
      <w:lvlJc w:val="left"/>
    </w:lvl>
  </w:abstractNum>
  <w:abstractNum w:abstractNumId="2">
    <w:nsid w:val="F842A911"/>
    <w:multiLevelType w:val="singleLevel"/>
    <w:tmpl w:val="F842A911"/>
    <w:lvl w:ilvl="0" w:tentative="0">
      <w:start w:val="1"/>
      <w:numFmt w:val="decimal"/>
      <w:suff w:val="space"/>
      <w:lvlText w:val="[%1]"/>
      <w:lvlJc w:val="left"/>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55781086"/>
    <w:multiLevelType w:val="singleLevel"/>
    <w:tmpl w:val="55781086"/>
    <w:lvl w:ilvl="0" w:tentative="0">
      <w:start w:val="1"/>
      <w:numFmt w:val="decimal"/>
      <w:suff w:val="space"/>
      <w:lvlText w:val="%1."/>
      <w:lvlJc w:val="left"/>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6CDA2FB2"/>
    <w:multiLevelType w:val="multilevel"/>
    <w:tmpl w:val="6CDA2FB2"/>
    <w:lvl w:ilvl="0" w:tentative="0">
      <w:start w:val="1"/>
      <w:numFmt w:val="decimal"/>
      <w:pStyle w:val="54"/>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7">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8">
    <w:nsid w:val="7DCB1BC6"/>
    <w:multiLevelType w:val="singleLevel"/>
    <w:tmpl w:val="7DCB1BC6"/>
    <w:lvl w:ilvl="0" w:tentative="0">
      <w:start w:val="1"/>
      <w:numFmt w:val="decimal"/>
      <w:suff w:val="space"/>
      <w:lvlText w:val="%1."/>
      <w:lvlJc w:val="left"/>
    </w:lvl>
  </w:abstractNum>
  <w:num w:numId="1">
    <w:abstractNumId w:val="7"/>
  </w:num>
  <w:num w:numId="2">
    <w:abstractNumId w:val="6"/>
  </w:num>
  <w:num w:numId="3">
    <w:abstractNumId w:val="3"/>
  </w:num>
  <w:num w:numId="4">
    <w:abstractNumId w:val="5"/>
  </w:num>
  <w:num w:numId="5">
    <w:abstractNumId w:val="0"/>
  </w:num>
  <w:num w:numId="6">
    <w:abstractNumId w:val="4"/>
  </w:num>
  <w:num w:numId="7">
    <w:abstractNumId w:val="1"/>
  </w:num>
  <w:num w:numId="8">
    <w:abstractNumId w:val="8"/>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4"/>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3ED4"/>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2823"/>
    <w:rsid w:val="00043405"/>
    <w:rsid w:val="0004411D"/>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A8"/>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566"/>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C24"/>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1F5"/>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2F0"/>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21D"/>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02C"/>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5C3"/>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9B"/>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A6B"/>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690"/>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5D24"/>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27361"/>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D38"/>
    <w:rsid w:val="0074623A"/>
    <w:rsid w:val="007464D8"/>
    <w:rsid w:val="00746506"/>
    <w:rsid w:val="00747BF5"/>
    <w:rsid w:val="00750710"/>
    <w:rsid w:val="0075073E"/>
    <w:rsid w:val="00750790"/>
    <w:rsid w:val="0075091B"/>
    <w:rsid w:val="00750952"/>
    <w:rsid w:val="00750FA8"/>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2FB"/>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841"/>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3F9D"/>
    <w:rsid w:val="008A4784"/>
    <w:rsid w:val="008A4EEF"/>
    <w:rsid w:val="008A5020"/>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95A"/>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8F7B5D"/>
    <w:rsid w:val="00900804"/>
    <w:rsid w:val="009009A1"/>
    <w:rsid w:val="00900D3E"/>
    <w:rsid w:val="00901183"/>
    <w:rsid w:val="00901485"/>
    <w:rsid w:val="00901490"/>
    <w:rsid w:val="009015C9"/>
    <w:rsid w:val="00901CBE"/>
    <w:rsid w:val="00901D01"/>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753"/>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54E"/>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26C"/>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872"/>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755"/>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4F5D"/>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3C1"/>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10F"/>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2FFE"/>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B01"/>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09"/>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6CD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1BA9"/>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2E78"/>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668B"/>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47C83"/>
    <w:rsid w:val="00F505E1"/>
    <w:rsid w:val="00F5129E"/>
    <w:rsid w:val="00F51B63"/>
    <w:rsid w:val="00F531AA"/>
    <w:rsid w:val="00F533A1"/>
    <w:rsid w:val="00F53BA7"/>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C64"/>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4164CB"/>
    <w:rsid w:val="01F7606B"/>
    <w:rsid w:val="0230623E"/>
    <w:rsid w:val="035B4927"/>
    <w:rsid w:val="03D25EE7"/>
    <w:rsid w:val="042B3615"/>
    <w:rsid w:val="04D7108D"/>
    <w:rsid w:val="06605382"/>
    <w:rsid w:val="081E4B5F"/>
    <w:rsid w:val="086548D6"/>
    <w:rsid w:val="09476676"/>
    <w:rsid w:val="0ADA3E79"/>
    <w:rsid w:val="0D032256"/>
    <w:rsid w:val="0D1371F8"/>
    <w:rsid w:val="0E3E3158"/>
    <w:rsid w:val="0E641075"/>
    <w:rsid w:val="0F132237"/>
    <w:rsid w:val="0F992464"/>
    <w:rsid w:val="0FF80280"/>
    <w:rsid w:val="11E23F6D"/>
    <w:rsid w:val="120A163A"/>
    <w:rsid w:val="1210079C"/>
    <w:rsid w:val="121F02E4"/>
    <w:rsid w:val="128476F8"/>
    <w:rsid w:val="13CC7FD9"/>
    <w:rsid w:val="153D7E2E"/>
    <w:rsid w:val="15913B28"/>
    <w:rsid w:val="164761D8"/>
    <w:rsid w:val="16AA7A17"/>
    <w:rsid w:val="17B408CA"/>
    <w:rsid w:val="184D0C01"/>
    <w:rsid w:val="192C6BE3"/>
    <w:rsid w:val="1A825111"/>
    <w:rsid w:val="1C37351D"/>
    <w:rsid w:val="1E161E6D"/>
    <w:rsid w:val="1E5F4E13"/>
    <w:rsid w:val="1E927A09"/>
    <w:rsid w:val="1ED75440"/>
    <w:rsid w:val="1F9B60E3"/>
    <w:rsid w:val="1FDC52D2"/>
    <w:rsid w:val="201F15A8"/>
    <w:rsid w:val="20C10ECF"/>
    <w:rsid w:val="20FD7158"/>
    <w:rsid w:val="212A5BF7"/>
    <w:rsid w:val="214E32DC"/>
    <w:rsid w:val="2175014D"/>
    <w:rsid w:val="23B166E4"/>
    <w:rsid w:val="2405092E"/>
    <w:rsid w:val="257025E8"/>
    <w:rsid w:val="27C95B2A"/>
    <w:rsid w:val="280023AD"/>
    <w:rsid w:val="282019FF"/>
    <w:rsid w:val="2859589A"/>
    <w:rsid w:val="28DB6428"/>
    <w:rsid w:val="2AEA636D"/>
    <w:rsid w:val="2C6C776D"/>
    <w:rsid w:val="2C80030E"/>
    <w:rsid w:val="2CC81F3C"/>
    <w:rsid w:val="2D78620C"/>
    <w:rsid w:val="2D95698D"/>
    <w:rsid w:val="2E084D35"/>
    <w:rsid w:val="2E5E5359"/>
    <w:rsid w:val="309C78ED"/>
    <w:rsid w:val="30F57F75"/>
    <w:rsid w:val="320937D5"/>
    <w:rsid w:val="337178ED"/>
    <w:rsid w:val="34493A89"/>
    <w:rsid w:val="34DD776E"/>
    <w:rsid w:val="35942C8A"/>
    <w:rsid w:val="36C642EA"/>
    <w:rsid w:val="383A6905"/>
    <w:rsid w:val="384214BD"/>
    <w:rsid w:val="38847406"/>
    <w:rsid w:val="389B67A0"/>
    <w:rsid w:val="3B762569"/>
    <w:rsid w:val="3D067AEF"/>
    <w:rsid w:val="3F060C31"/>
    <w:rsid w:val="3F0D4519"/>
    <w:rsid w:val="40A179BD"/>
    <w:rsid w:val="44A9287E"/>
    <w:rsid w:val="47D3399F"/>
    <w:rsid w:val="483A3B0D"/>
    <w:rsid w:val="48813FCC"/>
    <w:rsid w:val="48ED7B84"/>
    <w:rsid w:val="490254F1"/>
    <w:rsid w:val="49D52D0E"/>
    <w:rsid w:val="4A5C4BD9"/>
    <w:rsid w:val="4A6864F1"/>
    <w:rsid w:val="4AF749DA"/>
    <w:rsid w:val="4B1E7F9E"/>
    <w:rsid w:val="4CDE269A"/>
    <w:rsid w:val="4DD74054"/>
    <w:rsid w:val="4ECF7042"/>
    <w:rsid w:val="4FCF6264"/>
    <w:rsid w:val="51274749"/>
    <w:rsid w:val="51633A66"/>
    <w:rsid w:val="51B15AA6"/>
    <w:rsid w:val="51C3295A"/>
    <w:rsid w:val="51DD0764"/>
    <w:rsid w:val="52347B6B"/>
    <w:rsid w:val="52D73516"/>
    <w:rsid w:val="54083211"/>
    <w:rsid w:val="540D0E31"/>
    <w:rsid w:val="54441280"/>
    <w:rsid w:val="56755C36"/>
    <w:rsid w:val="56FA16B6"/>
    <w:rsid w:val="576808B3"/>
    <w:rsid w:val="58183FA6"/>
    <w:rsid w:val="58931ED3"/>
    <w:rsid w:val="5A482AAE"/>
    <w:rsid w:val="5D497818"/>
    <w:rsid w:val="5E2514CE"/>
    <w:rsid w:val="5E646CF6"/>
    <w:rsid w:val="5EE8777B"/>
    <w:rsid w:val="63E8059D"/>
    <w:rsid w:val="64D70914"/>
    <w:rsid w:val="65CC56BC"/>
    <w:rsid w:val="67316E6D"/>
    <w:rsid w:val="67EE33DD"/>
    <w:rsid w:val="68E4149F"/>
    <w:rsid w:val="69B92763"/>
    <w:rsid w:val="69F32ED2"/>
    <w:rsid w:val="6A2F2BD9"/>
    <w:rsid w:val="6ACE31F6"/>
    <w:rsid w:val="6BCF01C2"/>
    <w:rsid w:val="6D1B5309"/>
    <w:rsid w:val="6D281999"/>
    <w:rsid w:val="6D772419"/>
    <w:rsid w:val="6DE17C72"/>
    <w:rsid w:val="6DE31A16"/>
    <w:rsid w:val="6FDA6912"/>
    <w:rsid w:val="6FDF59B6"/>
    <w:rsid w:val="70043D97"/>
    <w:rsid w:val="70B73B88"/>
    <w:rsid w:val="712E29AD"/>
    <w:rsid w:val="71A209D2"/>
    <w:rsid w:val="71B27535"/>
    <w:rsid w:val="726008A3"/>
    <w:rsid w:val="7269724C"/>
    <w:rsid w:val="72726862"/>
    <w:rsid w:val="72933214"/>
    <w:rsid w:val="74B43BFD"/>
    <w:rsid w:val="76DE2F21"/>
    <w:rsid w:val="77C53557"/>
    <w:rsid w:val="77E138BA"/>
    <w:rsid w:val="782515C0"/>
    <w:rsid w:val="78BA5FB5"/>
    <w:rsid w:val="790A1F5F"/>
    <w:rsid w:val="797A48CF"/>
    <w:rsid w:val="79A43C1B"/>
    <w:rsid w:val="79FA254C"/>
    <w:rsid w:val="7A8525A0"/>
    <w:rsid w:val="7A934395"/>
    <w:rsid w:val="7B5C7CAB"/>
    <w:rsid w:val="7B9A4DB4"/>
    <w:rsid w:val="7D020E51"/>
    <w:rsid w:val="7E1008D3"/>
    <w:rsid w:val="7E6570AF"/>
    <w:rsid w:val="7E8E6754"/>
    <w:rsid w:val="7EC953A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6"/>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7"/>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8"/>
    <w:qFormat/>
    <w:uiPriority w:val="0"/>
    <w:pPr>
      <w:tabs>
        <w:tab w:val="left" w:pos="720"/>
        <w:tab w:val="clear" w:pos="576"/>
      </w:tabs>
      <w:spacing w:before="120"/>
      <w:ind w:left="720" w:hanging="720"/>
      <w:outlineLvl w:val="2"/>
    </w:pPr>
    <w:rPr>
      <w:sz w:val="28"/>
    </w:rPr>
  </w:style>
  <w:style w:type="paragraph" w:styleId="5">
    <w:name w:val="heading 4"/>
    <w:basedOn w:val="4"/>
    <w:next w:val="1"/>
    <w:link w:val="39"/>
    <w:qFormat/>
    <w:uiPriority w:val="0"/>
    <w:pPr>
      <w:tabs>
        <w:tab w:val="left" w:pos="864"/>
        <w:tab w:val="clear" w:pos="720"/>
      </w:tabs>
      <w:ind w:left="864" w:hanging="864"/>
      <w:outlineLvl w:val="3"/>
    </w:pPr>
    <w:rPr>
      <w:sz w:val="20"/>
    </w:rPr>
  </w:style>
  <w:style w:type="paragraph" w:styleId="6">
    <w:name w:val="heading 5"/>
    <w:basedOn w:val="5"/>
    <w:next w:val="1"/>
    <w:link w:val="40"/>
    <w:qFormat/>
    <w:uiPriority w:val="0"/>
    <w:pPr>
      <w:tabs>
        <w:tab w:val="left" w:pos="1152"/>
        <w:tab w:val="clear" w:pos="864"/>
      </w:tabs>
      <w:ind w:left="1152" w:hanging="1152"/>
      <w:outlineLvl w:val="4"/>
    </w:pPr>
    <w:rPr>
      <w:sz w:val="22"/>
    </w:rPr>
  </w:style>
  <w:style w:type="paragraph" w:styleId="7">
    <w:name w:val="heading 7"/>
    <w:basedOn w:val="1"/>
    <w:next w:val="1"/>
    <w:link w:val="41"/>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2"/>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3"/>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6"/>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7"/>
    <w:semiHidden/>
    <w:unhideWhenUsed/>
    <w:qFormat/>
    <w:uiPriority w:val="99"/>
    <w:rPr>
      <w:rFonts w:ascii="Cambria Math" w:hAnsi="Cambria Math" w:eastAsia="Cambria Math"/>
      <w:sz w:val="20"/>
      <w:szCs w:val="20"/>
    </w:rPr>
  </w:style>
  <w:style w:type="paragraph" w:styleId="12">
    <w:name w:val="annotation text"/>
    <w:basedOn w:val="1"/>
    <w:link w:val="49"/>
    <w:unhideWhenUsed/>
    <w:qFormat/>
    <w:uiPriority w:val="99"/>
  </w:style>
  <w:style w:type="paragraph" w:styleId="13">
    <w:name w:val="Body Text"/>
    <w:basedOn w:val="1"/>
    <w:link w:val="86"/>
    <w:qFormat/>
    <w:uiPriority w:val="0"/>
    <w:pPr>
      <w:spacing w:after="120"/>
      <w:jc w:val="both"/>
    </w:pPr>
    <w:rPr>
      <w:rFonts w:eastAsia="MS Mincho"/>
      <w:sz w:val="20"/>
      <w:lang w:val="zh-CN" w:eastAsia="en-US"/>
    </w:rPr>
  </w:style>
  <w:style w:type="paragraph" w:styleId="14">
    <w:name w:val="Balloon Text"/>
    <w:basedOn w:val="1"/>
    <w:link w:val="47"/>
    <w:semiHidden/>
    <w:unhideWhenUsed/>
    <w:qFormat/>
    <w:uiPriority w:val="99"/>
    <w:rPr>
      <w:rFonts w:ascii="Cambria Math" w:hAnsi="Cambria Math" w:eastAsia="Cambria Math"/>
      <w:sz w:val="18"/>
      <w:szCs w:val="18"/>
    </w:rPr>
  </w:style>
  <w:style w:type="paragraph" w:styleId="15">
    <w:name w:val="footer"/>
    <w:basedOn w:val="1"/>
    <w:link w:val="48"/>
    <w:unhideWhenUsed/>
    <w:qFormat/>
    <w:uiPriority w:val="99"/>
    <w:pPr>
      <w:tabs>
        <w:tab w:val="center" w:pos="4153"/>
        <w:tab w:val="right" w:pos="8306"/>
      </w:tabs>
      <w:snapToGrid w:val="0"/>
    </w:pPr>
    <w:rPr>
      <w:rFonts w:ascii="Cambria Math" w:hAnsi="Cambria Math"/>
      <w:sz w:val="18"/>
      <w:szCs w:val="18"/>
    </w:rPr>
  </w:style>
  <w:style w:type="paragraph" w:styleId="16">
    <w:name w:val="header"/>
    <w:basedOn w:val="1"/>
    <w:link w:val="25"/>
    <w:qFormat/>
    <w:uiPriority w:val="99"/>
    <w:pPr>
      <w:tabs>
        <w:tab w:val="center" w:pos="4153"/>
        <w:tab w:val="right" w:pos="8306"/>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50"/>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qFormat/>
    <w:uiPriority w:val="0"/>
    <w:rPr>
      <w:rFonts w:cs="Times New Roman"/>
      <w:color w:val="0000FF"/>
      <w:u w:val="single"/>
    </w:rPr>
  </w:style>
  <w:style w:type="character" w:styleId="24">
    <w:name w:val="annotation reference"/>
    <w:semiHidden/>
    <w:unhideWhenUsed/>
    <w:qFormat/>
    <w:uiPriority w:val="99"/>
    <w:rPr>
      <w:sz w:val="21"/>
      <w:szCs w:val="21"/>
    </w:rPr>
  </w:style>
  <w:style w:type="character" w:customStyle="1" w:styleId="25">
    <w:name w:val="页眉 字符"/>
    <w:link w:val="16"/>
    <w:qFormat/>
    <w:uiPriority w:val="99"/>
    <w:rPr>
      <w:rFonts w:ascii="Times New Roman" w:hAnsi="Times New Roman" w:eastAsia="Courier New" w:cs="Times New Roman"/>
      <w:kern w:val="0"/>
      <w:sz w:val="20"/>
      <w:szCs w:val="20"/>
      <w:lang w:eastAsia="en-US"/>
    </w:rPr>
  </w:style>
  <w:style w:type="character" w:customStyle="1" w:styleId="26">
    <w:name w:val="标题 1 字符"/>
    <w:link w:val="2"/>
    <w:qFormat/>
    <w:uiPriority w:val="0"/>
    <w:rPr>
      <w:rFonts w:ascii="Arial" w:hAnsi="Arial"/>
      <w:b/>
      <w:bCs/>
      <w:kern w:val="44"/>
      <w:sz w:val="44"/>
      <w:szCs w:val="44"/>
    </w:rPr>
  </w:style>
  <w:style w:type="character" w:customStyle="1" w:styleId="27">
    <w:name w:val="文档结构图 字符"/>
    <w:link w:val="11"/>
    <w:semiHidden/>
    <w:qFormat/>
    <w:uiPriority w:val="99"/>
    <w:rPr>
      <w:rFonts w:ascii="Cambria Math" w:eastAsia="Cambria Math"/>
    </w:rPr>
  </w:style>
  <w:style w:type="paragraph" w:customStyle="1" w:styleId="28">
    <w:name w:val="TAC"/>
    <w:basedOn w:val="29"/>
    <w:link w:val="30"/>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29">
    <w:name w:val="TAL"/>
    <w:basedOn w:val="1"/>
    <w:link w:val="58"/>
    <w:qFormat/>
    <w:uiPriority w:val="0"/>
    <w:pPr>
      <w:keepNext/>
      <w:keepLines/>
    </w:pPr>
    <w:rPr>
      <w:rFonts w:ascii="Courier New" w:hAnsi="Courier New"/>
      <w:sz w:val="18"/>
      <w:szCs w:val="20"/>
      <w:lang w:val="en-GB" w:eastAsia="en-US"/>
    </w:rPr>
  </w:style>
  <w:style w:type="character" w:customStyle="1" w:styleId="30">
    <w:name w:val="TAC Char"/>
    <w:link w:val="28"/>
    <w:qFormat/>
    <w:uiPriority w:val="0"/>
    <w:rPr>
      <w:rFonts w:ascii="Courier New" w:hAnsi="Courier New" w:eastAsia="Yu Mincho Light" w:cs="Times New Roman"/>
      <w:kern w:val="0"/>
      <w:sz w:val="18"/>
      <w:szCs w:val="18"/>
      <w:lang w:val="en-GB"/>
    </w:rPr>
  </w:style>
  <w:style w:type="paragraph" w:customStyle="1" w:styleId="31">
    <w:name w:val="TH"/>
    <w:basedOn w:val="1"/>
    <w:link w:val="32"/>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2">
    <w:name w:val="TH Char"/>
    <w:link w:val="31"/>
    <w:qFormat/>
    <w:uiPriority w:val="0"/>
    <w:rPr>
      <w:rFonts w:ascii="Courier New" w:hAnsi="Courier New" w:eastAsia="Yu Mincho Light" w:cs="Times New Roman"/>
      <w:b/>
      <w:bCs/>
      <w:kern w:val="0"/>
      <w:sz w:val="20"/>
      <w:szCs w:val="20"/>
      <w:lang w:val="en-GB"/>
    </w:rPr>
  </w:style>
  <w:style w:type="paragraph" w:customStyle="1" w:styleId="33">
    <w:name w:val="TAH"/>
    <w:basedOn w:val="28"/>
    <w:link w:val="34"/>
    <w:qFormat/>
    <w:uiPriority w:val="0"/>
    <w:rPr>
      <w:b/>
      <w:bCs/>
    </w:rPr>
  </w:style>
  <w:style w:type="character" w:customStyle="1" w:styleId="34">
    <w:name w:val="TAH Car"/>
    <w:link w:val="33"/>
    <w:qFormat/>
    <w:uiPriority w:val="0"/>
    <w:rPr>
      <w:rFonts w:ascii="Courier New" w:hAnsi="Courier New" w:eastAsia="Yu Mincho Light" w:cs="Times New Roman"/>
      <w:b/>
      <w:bCs/>
      <w:kern w:val="0"/>
      <w:sz w:val="18"/>
      <w:szCs w:val="18"/>
      <w:lang w:val="en-GB"/>
    </w:rPr>
  </w:style>
  <w:style w:type="paragraph" w:customStyle="1" w:styleId="35">
    <w:name w:val="TAN"/>
    <w:basedOn w:val="1"/>
    <w:link w:val="36"/>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6">
    <w:name w:val="TAN Char"/>
    <w:link w:val="35"/>
    <w:qFormat/>
    <w:uiPriority w:val="0"/>
    <w:rPr>
      <w:rFonts w:ascii="Courier New" w:hAnsi="Courier New" w:eastAsia="Yu Mincho Light" w:cs="Times New Roman"/>
      <w:kern w:val="0"/>
      <w:sz w:val="18"/>
      <w:szCs w:val="18"/>
      <w:lang w:val="en-GB"/>
    </w:rPr>
  </w:style>
  <w:style w:type="character" w:customStyle="1" w:styleId="37">
    <w:name w:val="标题 2 字符"/>
    <w:link w:val="3"/>
    <w:qFormat/>
    <w:uiPriority w:val="0"/>
    <w:rPr>
      <w:rFonts w:ascii="Courier New" w:hAnsi="Courier New" w:eastAsia="Courier New" w:cs="Times New Roman"/>
      <w:kern w:val="0"/>
      <w:sz w:val="32"/>
      <w:szCs w:val="20"/>
      <w:lang w:val="en-GB" w:eastAsia="en-US"/>
    </w:rPr>
  </w:style>
  <w:style w:type="character" w:customStyle="1" w:styleId="38">
    <w:name w:val="标题 3 字符"/>
    <w:link w:val="4"/>
    <w:qFormat/>
    <w:uiPriority w:val="0"/>
    <w:rPr>
      <w:rFonts w:ascii="Courier New" w:hAnsi="Courier New" w:eastAsia="Courier New" w:cs="Times New Roman"/>
      <w:kern w:val="0"/>
      <w:sz w:val="28"/>
      <w:szCs w:val="20"/>
      <w:lang w:val="en-GB" w:eastAsia="en-US"/>
    </w:rPr>
  </w:style>
  <w:style w:type="character" w:customStyle="1" w:styleId="39">
    <w:name w:val="标题 4 字符"/>
    <w:link w:val="5"/>
    <w:qFormat/>
    <w:uiPriority w:val="0"/>
    <w:rPr>
      <w:rFonts w:ascii="Courier New" w:hAnsi="Courier New" w:eastAsia="Courier New" w:cs="Times New Roman"/>
      <w:kern w:val="0"/>
      <w:szCs w:val="20"/>
      <w:lang w:val="en-GB" w:eastAsia="en-US"/>
    </w:rPr>
  </w:style>
  <w:style w:type="character" w:customStyle="1" w:styleId="40">
    <w:name w:val="标题 5 字符"/>
    <w:link w:val="6"/>
    <w:qFormat/>
    <w:uiPriority w:val="0"/>
    <w:rPr>
      <w:rFonts w:ascii="Courier New" w:hAnsi="Courier New" w:eastAsia="Courier New" w:cs="Times New Roman"/>
      <w:kern w:val="0"/>
      <w:sz w:val="22"/>
      <w:szCs w:val="20"/>
      <w:lang w:val="en-GB" w:eastAsia="en-US"/>
    </w:rPr>
  </w:style>
  <w:style w:type="character" w:customStyle="1" w:styleId="41">
    <w:name w:val="标题 7 字符"/>
    <w:link w:val="7"/>
    <w:qFormat/>
    <w:uiPriority w:val="0"/>
    <w:rPr>
      <w:rFonts w:ascii="Courier New" w:hAnsi="Courier New" w:eastAsia="Courier New" w:cs="Times New Roman"/>
      <w:kern w:val="0"/>
      <w:sz w:val="20"/>
      <w:szCs w:val="20"/>
      <w:lang w:val="en-GB" w:eastAsia="en-US"/>
    </w:rPr>
  </w:style>
  <w:style w:type="character" w:customStyle="1" w:styleId="42">
    <w:name w:val="标题 8 字符"/>
    <w:link w:val="8"/>
    <w:qFormat/>
    <w:uiPriority w:val="0"/>
    <w:rPr>
      <w:rFonts w:ascii="Courier New" w:hAnsi="Courier New" w:eastAsia="Courier New" w:cs="Times New Roman"/>
      <w:kern w:val="0"/>
      <w:sz w:val="36"/>
      <w:szCs w:val="20"/>
      <w:lang w:val="en-GB" w:eastAsia="en-US"/>
    </w:rPr>
  </w:style>
  <w:style w:type="character" w:customStyle="1" w:styleId="43">
    <w:name w:val="标题 9 字符"/>
    <w:link w:val="9"/>
    <w:qFormat/>
    <w:uiPriority w:val="0"/>
    <w:rPr>
      <w:rFonts w:ascii="Courier New" w:hAnsi="Courier New" w:eastAsia="Courier New" w:cs="Times New Roman"/>
      <w:kern w:val="0"/>
      <w:sz w:val="36"/>
      <w:szCs w:val="20"/>
      <w:lang w:val="en-GB" w:eastAsia="en-US"/>
    </w:rPr>
  </w:style>
  <w:style w:type="paragraph" w:customStyle="1" w:styleId="44">
    <w:name w:val="彩色列表 - 强调文字颜色 11"/>
    <w:basedOn w:val="1"/>
    <w:qFormat/>
    <w:uiPriority w:val="34"/>
    <w:pPr>
      <w:ind w:firstLine="420" w:firstLineChars="200"/>
    </w:pPr>
    <w:rPr>
      <w:rFonts w:ascii="Yu Mincho Light" w:hAnsi="Yu Mincho Light"/>
      <w:sz w:val="20"/>
      <w:szCs w:val="20"/>
    </w:rPr>
  </w:style>
  <w:style w:type="paragraph" w:customStyle="1" w:styleId="45">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6">
    <w:name w:val="题注 字符"/>
    <w:link w:val="10"/>
    <w:qFormat/>
    <w:uiPriority w:val="0"/>
    <w:rPr>
      <w:rFonts w:ascii="Courier New" w:hAnsi="Courier New"/>
      <w:b/>
      <w:kern w:val="20"/>
      <w:sz w:val="16"/>
      <w:lang w:eastAsia="en-US" w:bidi="ar-SA"/>
    </w:rPr>
  </w:style>
  <w:style w:type="character" w:customStyle="1" w:styleId="47">
    <w:name w:val="批注框文本 字符"/>
    <w:link w:val="14"/>
    <w:semiHidden/>
    <w:qFormat/>
    <w:uiPriority w:val="99"/>
    <w:rPr>
      <w:rFonts w:ascii="Cambria Math" w:eastAsia="Cambria Math"/>
      <w:sz w:val="18"/>
      <w:szCs w:val="18"/>
    </w:rPr>
  </w:style>
  <w:style w:type="character" w:customStyle="1" w:styleId="48">
    <w:name w:val="页脚 字符"/>
    <w:link w:val="15"/>
    <w:qFormat/>
    <w:uiPriority w:val="99"/>
    <w:rPr>
      <w:sz w:val="18"/>
      <w:szCs w:val="18"/>
    </w:rPr>
  </w:style>
  <w:style w:type="character" w:customStyle="1" w:styleId="49">
    <w:name w:val="批注文字 字符"/>
    <w:basedOn w:val="22"/>
    <w:link w:val="12"/>
    <w:qFormat/>
    <w:uiPriority w:val="99"/>
  </w:style>
  <w:style w:type="character" w:customStyle="1" w:styleId="50">
    <w:name w:val="批注主题 字符"/>
    <w:link w:val="19"/>
    <w:semiHidden/>
    <w:qFormat/>
    <w:uiPriority w:val="99"/>
    <w:rPr>
      <w:b/>
      <w:bCs/>
    </w:rPr>
  </w:style>
  <w:style w:type="paragraph" w:customStyle="1" w:styleId="51">
    <w:name w:val="B1"/>
    <w:basedOn w:val="17"/>
    <w:link w:val="52"/>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2">
    <w:name w:val="B1 Char1"/>
    <w:link w:val="51"/>
    <w:qFormat/>
    <w:uiPriority w:val="0"/>
    <w:rPr>
      <w:rFonts w:ascii="Times New Roman" w:hAnsi="Times New Roman" w:eastAsia="Times New Roman" w:cs="Times New Roman"/>
      <w:kern w:val="0"/>
      <w:sz w:val="20"/>
      <w:szCs w:val="20"/>
      <w:lang w:val="en-GB" w:eastAsia="en-US"/>
    </w:rPr>
  </w:style>
  <w:style w:type="character" w:customStyle="1" w:styleId="53">
    <w:name w:val="B1 Char"/>
    <w:qFormat/>
    <w:locked/>
    <w:uiPriority w:val="0"/>
    <w:rPr>
      <w:lang w:val="en-GB"/>
    </w:rPr>
  </w:style>
  <w:style w:type="paragraph" w:customStyle="1" w:styleId="54">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5">
    <w:name w:val="首标题"/>
    <w:qFormat/>
    <w:uiPriority w:val="0"/>
    <w:rPr>
      <w:rFonts w:ascii="Courier New" w:hAnsi="Courier New" w:eastAsia="Yu Mincho Light"/>
      <w:sz w:val="24"/>
      <w:lang w:val="en-US" w:eastAsia="zh-CN" w:bidi="ar-SA"/>
    </w:rPr>
  </w:style>
  <w:style w:type="paragraph" w:customStyle="1" w:styleId="56">
    <w:name w:val="插图题注"/>
    <w:basedOn w:val="1"/>
    <w:qFormat/>
    <w:uiPriority w:val="0"/>
    <w:pPr>
      <w:spacing w:after="180"/>
    </w:pPr>
    <w:rPr>
      <w:sz w:val="20"/>
      <w:szCs w:val="20"/>
      <w:lang w:val="en-GB" w:eastAsia="en-US"/>
    </w:rPr>
  </w:style>
  <w:style w:type="paragraph" w:customStyle="1" w:styleId="57">
    <w:name w:val="表格题注"/>
    <w:basedOn w:val="1"/>
    <w:qFormat/>
    <w:uiPriority w:val="0"/>
    <w:pPr>
      <w:spacing w:after="180"/>
    </w:pPr>
    <w:rPr>
      <w:sz w:val="20"/>
      <w:szCs w:val="20"/>
      <w:lang w:val="en-GB" w:eastAsia="en-US"/>
    </w:rPr>
  </w:style>
  <w:style w:type="character" w:customStyle="1" w:styleId="58">
    <w:name w:val="TAL Car"/>
    <w:link w:val="29"/>
    <w:qFormat/>
    <w:uiPriority w:val="0"/>
    <w:rPr>
      <w:rFonts w:ascii="Courier New" w:hAnsi="Courier New"/>
      <w:sz w:val="18"/>
      <w:lang w:val="en-GB" w:eastAsia="en-US"/>
    </w:rPr>
  </w:style>
  <w:style w:type="paragraph" w:customStyle="1" w:styleId="59">
    <w:name w:val="中等深浅网格 1 - 着色 21"/>
    <w:basedOn w:val="1"/>
    <w:link w:val="60"/>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0">
    <w:name w:val="中等深浅网格 1 - 着色 2 字符"/>
    <w:link w:val="59"/>
    <w:qFormat/>
    <w:locked/>
    <w:uiPriority w:val="34"/>
    <w:rPr>
      <w:rFonts w:ascii="Times New Roman" w:hAnsi="Times New Roman" w:eastAsia="Yu Mincho Light"/>
      <w:lang w:val="en-GB" w:eastAsia="ja-JP"/>
    </w:rPr>
  </w:style>
  <w:style w:type="character" w:customStyle="1" w:styleId="61">
    <w:name w:val="TAL Char"/>
    <w:qFormat/>
    <w:uiPriority w:val="0"/>
    <w:rPr>
      <w:rFonts w:ascii="Courier New" w:hAnsi="Courier New" w:eastAsia="Yu Mincho Light"/>
      <w:sz w:val="18"/>
      <w:lang w:val="en-GB" w:eastAsia="zh-C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3">
    <w:name w:val="Doc-title"/>
    <w:basedOn w:val="1"/>
    <w:next w:val="64"/>
    <w:link w:val="66"/>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4">
    <w:name w:val="Doc-text2"/>
    <w:basedOn w:val="1"/>
    <w:link w:val="65"/>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5">
    <w:name w:val="Doc-text2 Char"/>
    <w:link w:val="64"/>
    <w:qFormat/>
    <w:uiPriority w:val="0"/>
    <w:rPr>
      <w:rFonts w:ascii="Courier New" w:hAnsi="Courier New" w:eastAsia="Courier New"/>
      <w:szCs w:val="24"/>
      <w:lang w:eastAsia="en-GB"/>
    </w:rPr>
  </w:style>
  <w:style w:type="character" w:customStyle="1" w:styleId="66">
    <w:name w:val="Doc-title Char"/>
    <w:link w:val="63"/>
    <w:qFormat/>
    <w:uiPriority w:val="0"/>
    <w:rPr>
      <w:rFonts w:ascii="Courier New" w:hAnsi="Courier New" w:eastAsia="Courier New"/>
      <w:szCs w:val="24"/>
      <w:lang w:eastAsia="en-GB"/>
    </w:rPr>
  </w:style>
  <w:style w:type="paragraph" w:customStyle="1" w:styleId="67">
    <w:name w:val="EmailDiscussion2"/>
    <w:basedOn w:val="64"/>
    <w:qFormat/>
    <w:uiPriority w:val="0"/>
  </w:style>
  <w:style w:type="paragraph" w:customStyle="1" w:styleId="68">
    <w:name w:val="H6"/>
    <w:basedOn w:val="6"/>
    <w:next w:val="1"/>
    <w:link w:val="69"/>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9">
    <w:name w:val="H6 Char"/>
    <w:link w:val="68"/>
    <w:qFormat/>
    <w:uiPriority w:val="0"/>
    <w:rPr>
      <w:rFonts w:ascii="Courier New" w:hAnsi="Courier New" w:eastAsia="Yu Mincho Light"/>
      <w:lang w:val="en-GB" w:eastAsia="en-US"/>
    </w:rPr>
  </w:style>
  <w:style w:type="paragraph" w:customStyle="1" w:styleId="70">
    <w:name w:val="NO"/>
    <w:basedOn w:val="1"/>
    <w:link w:val="71"/>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1">
    <w:name w:val="NO Char1"/>
    <w:link w:val="70"/>
    <w:qFormat/>
    <w:uiPriority w:val="0"/>
    <w:rPr>
      <w:rFonts w:ascii="Times New Roman" w:hAnsi="Times New Roman" w:eastAsia="Times New Roman"/>
      <w:lang w:val="en-GB"/>
    </w:rPr>
  </w:style>
  <w:style w:type="character" w:customStyle="1" w:styleId="72">
    <w:name w:val="页眉 Char"/>
    <w:qFormat/>
    <w:uiPriority w:val="0"/>
    <w:rPr>
      <w:rFonts w:ascii="Courier New" w:hAnsi="Courier New"/>
      <w:b/>
      <w:sz w:val="18"/>
      <w:lang w:eastAsia="en-US"/>
    </w:rPr>
  </w:style>
  <w:style w:type="paragraph" w:customStyle="1" w:styleId="73">
    <w:name w:val="CR Cover Page"/>
    <w:link w:val="74"/>
    <w:qFormat/>
    <w:uiPriority w:val="0"/>
    <w:pPr>
      <w:spacing w:after="120"/>
    </w:pPr>
    <w:rPr>
      <w:rFonts w:ascii="Arial" w:hAnsi="Arial" w:eastAsia="Courier New" w:cs="Cambria Math"/>
      <w:lang w:val="en-GB" w:eastAsia="en-US" w:bidi="ar-SA"/>
    </w:rPr>
  </w:style>
  <w:style w:type="character" w:customStyle="1" w:styleId="74">
    <w:name w:val="CR Cover Page Char"/>
    <w:link w:val="73"/>
    <w:qFormat/>
    <w:uiPriority w:val="0"/>
    <w:rPr>
      <w:rFonts w:ascii="Arial" w:hAnsi="Arial" w:eastAsia="Courier New" w:cs="Cambria Math"/>
      <w:lang w:val="en-GB" w:eastAsia="en-US" w:bidi="ar-SA"/>
    </w:rPr>
  </w:style>
  <w:style w:type="paragraph" w:styleId="75">
    <w:name w:val="List Paragraph"/>
    <w:basedOn w:val="1"/>
    <w:link w:val="76"/>
    <w:qFormat/>
    <w:uiPriority w:val="34"/>
    <w:pPr>
      <w:ind w:firstLine="420" w:firstLineChars="200"/>
    </w:pPr>
    <w:rPr>
      <w:rFonts w:eastAsia="Times New Roman" w:cs="宋体"/>
    </w:rPr>
  </w:style>
  <w:style w:type="character" w:customStyle="1" w:styleId="76">
    <w:name w:val="列表段落 字符"/>
    <w:link w:val="75"/>
    <w:qFormat/>
    <w:locked/>
    <w:uiPriority w:val="34"/>
    <w:rPr>
      <w:rFonts w:ascii="Times New Roman" w:hAnsi="Times New Roman" w:eastAsia="Times New Roman" w:cs="宋体"/>
      <w:sz w:val="24"/>
      <w:szCs w:val="24"/>
    </w:rPr>
  </w:style>
  <w:style w:type="paragraph" w:customStyle="1" w:styleId="77">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8">
    <w:name w:val="正文1"/>
    <w:qFormat/>
    <w:uiPriority w:val="0"/>
    <w:pPr>
      <w:jc w:val="both"/>
    </w:pPr>
    <w:rPr>
      <w:rFonts w:ascii="Times New Roman" w:hAnsi="Times New Roman" w:eastAsia="宋体" w:cs="Times New Roman"/>
      <w:kern w:val="2"/>
      <w:sz w:val="21"/>
      <w:szCs w:val="21"/>
      <w:lang w:val="en-US" w:eastAsia="zh-CN" w:bidi="ar-SA"/>
    </w:rPr>
  </w:style>
  <w:style w:type="character" w:styleId="79">
    <w:name w:val="Placeholder Text"/>
    <w:basedOn w:val="22"/>
    <w:unhideWhenUsed/>
    <w:qFormat/>
    <w:uiPriority w:val="99"/>
    <w:rPr>
      <w:color w:val="808080"/>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paragraph" w:customStyle="1" w:styleId="82">
    <w:name w:val="Proposal"/>
    <w:basedOn w:val="1"/>
    <w:link w:val="83"/>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3">
    <w:name w:val="Proposal Char"/>
    <w:link w:val="82"/>
    <w:qFormat/>
    <w:uiPriority w:val="0"/>
    <w:rPr>
      <w:rFonts w:ascii="Arial" w:hAnsi="Arial" w:eastAsia="宋体"/>
      <w:b/>
      <w:bCs/>
      <w:lang w:val="en-GB"/>
    </w:rPr>
  </w:style>
  <w:style w:type="character" w:customStyle="1" w:styleId="84">
    <w:name w:val="normaltextrun"/>
    <w:basedOn w:val="22"/>
    <w:qFormat/>
    <w:uiPriority w:val="0"/>
  </w:style>
  <w:style w:type="character" w:customStyle="1" w:styleId="85">
    <w:name w:val="正文文本 字符"/>
    <w:basedOn w:val="22"/>
    <w:semiHidden/>
    <w:qFormat/>
    <w:uiPriority w:val="99"/>
    <w:rPr>
      <w:rFonts w:ascii="Times New Roman" w:hAnsi="Times New Roman"/>
      <w:sz w:val="24"/>
      <w:szCs w:val="24"/>
    </w:rPr>
  </w:style>
  <w:style w:type="character" w:customStyle="1" w:styleId="86">
    <w:name w:val="正文文本 字符1"/>
    <w:link w:val="13"/>
    <w:qFormat/>
    <w:uiPriority w:val="0"/>
    <w:rPr>
      <w:rFonts w:ascii="Times New Roman" w:hAnsi="Times New Roman" w:eastAsia="MS Mincho"/>
      <w:szCs w:val="24"/>
      <w:lang w:val="zh-CN" w:eastAsia="en-US"/>
    </w:rPr>
  </w:style>
  <w:style w:type="table" w:customStyle="1" w:styleId="87">
    <w:name w:val="网格型1"/>
    <w:basedOn w:val="20"/>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3</Pages>
  <Words>1418</Words>
  <Characters>8085</Characters>
  <Lines>67</Lines>
  <Paragraphs>18</Paragraphs>
  <TotalTime>0</TotalTime>
  <ScaleCrop>false</ScaleCrop>
  <LinksUpToDate>false</LinksUpToDate>
  <CharactersWithSpaces>9485</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2025-11-07T03:24:49Z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8E65DDE0A33E4A59AA7FDF1B85015A87_13</vt:lpwstr>
  </property>
</Properties>
</file>